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техническим вопросам – главный инженер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«___»__________ 202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5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устройств РЗА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1.1 Заказчик: </w:t>
      </w:r>
      <w:r>
        <w:rPr>
          <w:rFonts w:ascii="Times New Roman" w:hAnsi="Times New Roman"/>
          <w:sz w:val="26"/>
          <w:szCs w:val="26"/>
        </w:rPr>
        <w:t xml:space="preserve">АО </w:t>
      </w:r>
      <w:r>
        <w:rPr>
          <w:rFonts w:ascii="Times New Roman CYR" w:hAnsi="Times New Roman CYR" w:cs="Times New Roman CYR"/>
          <w:sz w:val="26"/>
          <w:szCs w:val="26"/>
        </w:rPr>
        <w:t xml:space="preserve">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1.2 Предмет закупки: </w:t>
      </w:r>
      <w:r>
        <w:rPr>
          <w:rFonts w:ascii="Times New Roman" w:hAnsi="Times New Roman"/>
          <w:sz w:val="24"/>
          <w:szCs w:val="24"/>
        </w:rPr>
        <w:t xml:space="preserve">Устройства РЗА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2.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г. Кызыл, ул. Колхозная, 2б, Центральный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2.2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 продукции осуществляется транспортными средствами до склада Заказчика.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green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: с </w:t>
      </w:r>
      <w:bookmarkStart w:id="0" w:name="_GoBack"/>
      <w:r>
        <w:rPr>
          <w:rFonts w:ascii="Times New Roman CYR" w:hAnsi="Times New Roman CYR" w:eastAsia="Times New Roman" w:cs="Times New Roman CYR"/>
          <w:sz w:val="26"/>
          <w:szCs w:val="26"/>
        </w:rPr>
        <w:t xml:space="preserve">01.06.2025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по 31.07.2025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г.</w:t>
      </w:r>
      <w:bookmarkEnd w:id="0"/>
      <w:r>
        <w:rPr>
          <w:rFonts w:ascii="Times New Roman CYR" w:hAnsi="Times New Roman CYR" w:eastAsia="Times New Roman" w:cs="Times New Roman CYR"/>
          <w:sz w:val="26"/>
          <w:szCs w:val="26"/>
          <w:highlight w:val="green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3. Перечень и объемы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3.1 Цена, перечень и объемы поставки указаны в приложении 1.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3.2. Все налоги, сборы, отчисления и другие платежи, включая таможенные платежи и сбо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 Характеристики и требования к поставляемому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оборудованию представлены в приложении 2 к настоящему техническому заданию 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4.9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5.1. По всем видам оборудования участник должен предоставить полный комплект техниче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ской и эксплуатационной документации на русском языке,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6.  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 Правила приемки оборудования.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tbl>
      <w:tblPr>
        <w:tblW w:w="104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5"/>
        <w:gridCol w:w="4369"/>
        <w:gridCol w:w="1701"/>
        <w:gridCol w:w="1455"/>
        <w:gridCol w:w="2246"/>
      </w:tblGrid>
      <w:tr>
        <w:tblPrEx/>
        <w:trPr>
          <w:jc w:val="center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Эксперт от ИА ПАО «Россети Сибирь»: Начальник отдела</w:t>
            </w:r>
            <w: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развития систем релейной защиты, оптимизации электрических режимов и анализа системной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В.В. Булгаков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по оперативно - технологическому и ситуационному управлению - начальник ЦУС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М.В. Макаров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главного инженера по эксплуатации - начальник управления ТОиРОЭХ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91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Начальник СРЗА ЦУС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Д.В. Долгополов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 2</w:t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техническому заданию</w:t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Терминал защиты типа </w:t>
      </w:r>
      <w:r>
        <w:rPr>
          <w:rFonts w:ascii="Times New Roman" w:hAnsi="Times New Roman"/>
          <w:b/>
          <w:bCs/>
          <w:sz w:val="28"/>
          <w:szCs w:val="28"/>
        </w:rPr>
        <w:t xml:space="preserve">ЭКРА 050 0301</w:t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1063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9"/>
        <w:gridCol w:w="5194"/>
        <w:gridCol w:w="1879"/>
        <w:gridCol w:w="1844"/>
      </w:tblGrid>
      <w:tr>
        <w:tblPrEx/>
        <w:trPr>
          <w:gridAfter w:val="3"/>
          <w:trHeight w:val="112"/>
        </w:trPr>
        <w:tc>
          <w:tcPr>
            <w:gridSpan w:val="2"/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tbl>
            <w:tblPr>
              <w:tblW w:w="1718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000000" w:sz="0" w:space="0"/>
                <w:insideV w:val="none" w:color="000000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>
              <w:tblPrEx/>
              <w:trPr>
                <w:trHeight w:val="112"/>
              </w:trPr>
              <w:tc>
                <w:tcPr>
                  <w:tcW w:w="171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Терминал защиты типа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ЭКРА 050 0301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или аналогичный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шт. (компл.)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Основные параметры терминала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Номинальный переменный ток входов для фазных величин Iном, 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Номинальный переменный ток входов для нулевой последовательности Iзном (3I0ном ), 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междуфазное напряжение переменного тока Uном,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Номинальная частота, Гц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 постоянного оперативного питания Uпит.ном,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аналоговых каналов тока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аналоговых каналов напряжения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дискретных входов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4.1.9.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дискретных выходных реле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4.1.10.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Суммарная длительность хранимых осциллограмм, с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электрической прочности изоляции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 МОм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(эффективное значение) переменного тока частоты 50 Гц в течение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 мин.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по электромагнитной совместимости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 МГц по ГОСТ Р 51317.4.12-99 (МЭК 61000-4-12-95) при степени жесткости испытаний 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ГОСТ Р 51317.4.4-2007 (МЭК 61000-4-4:2004)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(МЭК 61000-4-2-95)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 ГОСТ Р 51317.4.5-99 (МЭК 61000-4-5-95)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(МППЧ) по ГОСТ Р 50648-94 (МЭК 1000-4-8-93) при степени жесткости испытаний 4: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для непрерывного магнитного поля;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 А/м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для кратковременного магнитного поля.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300 А/м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ГОСТ Р 50649-94 (МЭК 1000-4-9-93)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испытаний 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цепи оперативного питания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Цепь  оперативного  питания  гальванически  развязана  от  внутренних  цепей терминала.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не повреждается и не срабатывает ложно: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при подаче и снятии напряжения оперативного питания;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при перерывах питания любой длительности с последующим самовосстановлением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при замыканиях цепей оперативного питания на землю.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 без перезапуска терминала до, мс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с перезапуском терминала свыше, мс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Мощность, потребляемая БП терминала от оперативного источника при номинальном напряжении, не превышает: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в дежурном режиме ,Вт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в режиме срабатывания ,Вт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входным цепям приема аналоговых сигналов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Входные цепи переменного тока имеют термическую стойкость: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при длительном токовом воздействии;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 Iном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при токовом воздействии в течение 1,0 с.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40 Iном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Входные цепи переменного напряжения длительно выдерживают: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4.5.2.1.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цепи напряжения «разомкнутого треугольника»;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1,8 Uном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4.5.2.2.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остальные цепи напряжения.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1,5 Uном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Мощность, потребляемая  по  каждому  аналоговому  входу  при  номинальном токе и напряжении сигнала, не превышает: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по входной цепи переменного тока, ВА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по входной цепи переменного напряжения, ВА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0,25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входным цепям приема дискретных сигналов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 для  типоисполнений  терминалов  с номинальным  оперативным напряжением переменного тока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Дискретные входы терминала обеспечивают: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срабатывание при приеме сигналов с номинальным напряжением Uпит.ном переменного тока 220 В и длительностью не менее, мс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Номинальный ток по каждому дискретному входу - не менее, мА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напряжении сигнала не превышает, ВА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1,2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выходным цепям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0,40/0,20/0,15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 10 А - в течение, с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1,0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 30 А - в течение, 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 40 А - в течение, 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0,03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4.8.3.4.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длительно допустимый ток через контакты реле -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 менее, 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Коммутационная износостойкость контактов реле, не менее: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- 2000 циклов при постоянной времени 0,04 с;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- 6500 циклов при постоянной времени 0,02 с;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- 10000 циклов при постоянной времени 0,005 с.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к конструкции, изготовлению и материалам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лицевой и боковым панелям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IP42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задней панели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Наличие протокола МЭК 61850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УХЛ3.1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- 20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(по заказу - 40)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Комплект технической и  эксплуатационной документации на русском языке, подготовленной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Комплект запасных частей, расходных материалов и принадлежностей (ЗИП)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Предоставляемая техническая и эксплуатационная документация должна включать: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Общее описание устройств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БЭ2502А0303-27Е4 УХЛ3.1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Ведомость технических и эксплуатационных документов;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Спецификацию оборудования;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Функциональные схемы терминалов, отражающие внутреннюю конфигурацию логических связей устройств;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Руководство по монтажу и наладке аппаратуры и программного обеспечения;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Программы и методики испытаний при вводе в эксплуатацию, а также периодических проверок в процессе эксплуатации;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Протоколы наладки;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Инструкции по эксплуатации.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contextualSpacing/>
              <w:ind w:left="322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заводской гарантии должен составлять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технических мероприятий по обслуживанию) должен быть не менее, лет.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Устройство должно правильно функционировать при изменении оперативного напряжения в пределах от номинального, %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0÷-20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Гарантийный ремонт организуют поставщики оборудования в срок не более, дней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сервисного центра на расстоянии не дальше 1000 км.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учебного центра на расстоянии не дальше 1000 км.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Да, указать номер и дату документов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Электромагнитная совместимость (ЭМС) с электромагнитной обстановкой (ЭМО)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Методические указания по защите вторичных цепей электрических станций и подстанций от импульсных помех" (РД 34.20.116-93);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экологии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Степень загрязнения 1 (загрязнение отсутствует или имеется только сухое, непроводящее загрязнение) по ГОСТ Р 51321.1-2007.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Приемка и шеф-монтажные работы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Монтаж оборудования выполняется с участием шеф-инженера производителя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Шеф-монтажные работы включены в стоимость оборудования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технического сопровождения (с участием поставщика)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Характеристики и требования к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Модулю БИМ 1130.00 АДР01/0,5/5/100/0/220</w:t>
      </w:r>
      <w:r>
        <w:rPr>
          <w:rFonts w:ascii="Times New Roman" w:hAnsi="Times New Roman"/>
          <w:b/>
          <w:i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tbl>
      <w:tblPr>
        <w:tblW w:w="106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БИМ 1130.00 АДР01/0,5/5/100/0/220,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либо аналог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шт. (компл.)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Общие параметры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аналоговых каналов,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аналоговых каналов тока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аналоговых каналов напряжения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дискретизации сигналов при измерении, Гц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12800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Действующее значение напряжения переменного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междуфазное напряжение переменного напряжения Uном,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Рабочий диапазон измерений,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0,8∙Uн до 1,2∙Uн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аварийный диапазон измерений, 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0,05∙Uн до 0,8∙Uн и от 1,2∙Uн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1,4∙Uн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Действующее значение силы переменного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Номинальный переменный ток входов для фазных величин Iном,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Рабочий диапазон измерений,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0,05∙I н до 8∙I н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Аварийный диапазон измерений, 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8∙I н до 50∙I н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переменного тока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измерений, Гц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45 до 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 оперативного питания переменного тока Uпит.ном,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дискретных входов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 дискретных входов,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4.1.9.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электрической прочности изоляции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Сопротивление изоляции между независимыми цепями, между независимыми цепями и корпусом, МОм,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 МОм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Гальваническая развязка (цепи передачи информации/аналогового датчика ТН - 500/остальные цепи), кВ, не хуже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~0,5/ ~2,5/ ~2,0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по электромагнитной совместимости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1 МГц по ГОСТ Р 51317.4.12-99 (МЭК 61000-4-12-95) при степени жесткости испытаний 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наносекундным  импульсным  помехам  по ГОСТ Р 51317.4.4-2007 (МЭК 61000-4-4:2004)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(МЭК 61000-4-2-95)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 ГОСТ Р 51317.4.5-99 (МЭК 61000-4-5-95)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(МППЧ) по ГОСТ Р 50648-94 (МЭК 1000-4-8-93) при степени жесткости испытаний 4: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для непрерывного магнитного поля;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 А/м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для кратковременного магнитного поля.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300 А/м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ГОСТ Р 50649-94 (МЭК 1000-4-9-93)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испытаний 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к конструкции, изготовлению и материалам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лицевой и боковым панелям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IP42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задней панели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УХЛ3.1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- 20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(по заказу - 40)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Подрядчик должен предоставить полный комплект технической и  эксплуатационной документации на русском языке, подготовленной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Комплект запасных частей, расходных материалов и принадлежностей (ЗИП)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Предоставляемая техническая и эксплуатационная документация должна включать: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Общее описание устройств;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Ведомость технических и эксплуатационных документов;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Спецификацию оборудования;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Функциональные схемы терминалов, отражающие внутреннюю конфигурацию логических связей устройств;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Описание комплекса технических средств, в том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числе техническую документацию на отдельные аппаратуры, содержащую правила монтажа, настройки и эксплуатации;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Руководство по монтажу и наладке аппаратуры и программного обеспечения;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Программы и методики испытаний при вводе в эксплуатацию, а также периодических проверок в процессе эксплуатации;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Протоколы наладки;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Инструкции по эксплуатации.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contextualSpacing/>
              <w:ind w:left="322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заводской гарантии должен составлять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технических мероприятий по обслуживанию) должен быть не менее, лет.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Устройство должно правильно функционировать при изменении оперативного напряжения в пределах от номинального, %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0÷-20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Гарантийный ремонт организуют поставщики оборудования в срок не более, дней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Да, указать номер и дату документов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Электромагнитная совместимость (ЭМС) с электромагнитной обстановкой (ЭМО)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Методические указания по защите вторичных цепей электрических станций и подстанций от импульсных помех" (РД 34.20.116-93);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"Руководящие указания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экологии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Степень загрязнения 1 (загрязнение отсутствует или имеется только сухое, непроводящее загрязнение) по ГОСТ Р 51321.1-2007.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Приемка и шеф-монтажные работы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Монтаж оборудования выполняется с участием шеф-инженера производителя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Шеф-монтажные работы включены в стоимость оборудования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технического сопровождения (с участием поставщика)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блоку питания токовому </w:t>
      </w:r>
      <w:r>
        <w:rPr>
          <w:rFonts w:ascii="Times New Roman" w:hAnsi="Times New Roman"/>
          <w:b/>
          <w:sz w:val="28"/>
          <w:szCs w:val="28"/>
        </w:rPr>
        <w:t xml:space="preserve">БПТК-25</w:t>
      </w:r>
      <w:r>
        <w:rPr>
          <w:rFonts w:ascii="Times New Roman" w:hAnsi="Times New Roman"/>
          <w:b/>
          <w:i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tbl>
      <w:tblPr>
        <w:tblW w:w="10350" w:type="dxa"/>
        <w:tblInd w:w="-1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99"/>
        <w:gridCol w:w="4111"/>
        <w:gridCol w:w="2030"/>
      </w:tblGrid>
      <w:tr>
        <w:tblPrEx/>
        <w:trPr>
          <w:tblHeader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49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БПТК-25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компл.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 xml:space="preserve">1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входов для подключения источников напряжения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входов для подключения источников тока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83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Номинальное входное напряжение, В, 50 Гц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100, 220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Номинальный входной ток, А, 50 Гц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выходная мощность каждого из четырёх преобразователей, Вт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ток на входах обоих преобразователей переменного тока в постоянное напряжение, при котором обеспечивается выходная мощность: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менее, 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50 Вт, не менее, 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1,3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ток на входе одного из двух преобразователей переменного тока в постоянное напряжение, при котором обеспечивается выходная мощность: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менее, 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50 Вт, не менее, 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2,5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Ток термической стойкости цепей подключаемых к ТТ: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исполнений блока БПТК-25М.00 и БПТК-25М.02 в течение 1 с, 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исполнения блока БПТК-25М.01 в течение 1 с, 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всех исполнений длительно, 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входного напряжения в % от номинального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значения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 – 110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выходного </w:t>
            </w:r>
            <w:r>
              <w:rPr>
                <w:rFonts w:ascii="Times New Roman" w:hAnsi="Times New Roman" w:cs="Times New Roman"/>
              </w:rPr>
              <w:t xml:space="preserve">напряжения при электропитании от ТСН и (или) ТН, В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229 – 231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выходного напряжения при электропитании от ТТ, В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215 – 225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Амплитуда синусоидальной составляющей выходного напряжения: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25 Вт, не более, В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50 Вт, не более, В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одном из двух входов: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/ 37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/ 60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 / 98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обоих входах: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/ 36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 / 50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/ 82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12,5 Вт,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более, Вт / ВА – 50 Вт, не более, Вт / ВА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 / 66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 / 104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 / 170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выходного напряжения при электропитании от ТТ, В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215 – 225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Амплитуда синусоидальной </w:t>
            </w:r>
            <w:r>
              <w:rPr>
                <w:rFonts w:ascii="Times New Roman" w:hAnsi="Times New Roman" w:cs="Times New Roman"/>
              </w:rPr>
              <w:t xml:space="preserve">составляющей выходного напряжения: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25 Вт, не более, В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50 Вт, не более, В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одном из двух входов: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/ 37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/ 60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 / 98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обоих входах: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/ 36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 / 50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/ 82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12,5 Вт, не более, Вт / ВА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более, Вт / ВА – 50 Вт, не более, Вт / ВА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 / 66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 / 104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 / 170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Габаритные размеры блока, не более, мм: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ширина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высота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глубина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bottom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250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Масса блока, не более, кг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pStyle w:val="8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8,6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Сопротивление изоляции между всеми независимыми цепями, а также между независимыми цепями и корпусом, измеренное в холодном состоянии, при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температуре окружающего воздуха (20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5)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С и относительной влажности воздуха до 80 %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менее 100 МОм.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Электрическая изоляция между всеми независимыми цепями, а также между независимыми цепями и корпусом выдерживает без пробоя изоляции при-ложенное в течение 1 мин испытательное напряжение переменного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кВ, 50 Гц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к конструкции, изготовлению и материалам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IP20</w:t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УХЛ3.1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- 40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9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</w:r>
      <w:r>
        <w:rPr>
          <w:rFonts w:ascii="Times New Roman CYR" w:hAnsi="Times New Roman CYR" w:cs="Times New Roman CYR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  <w:t xml:space="preserve">Примечание:</w:t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  <w:t xml:space="preserve">1. Время выполнения гарантийного ремонта учитывается от момента получения поставщиком письменного уведомления о неисправности оборудования, до предоставления письменного отчета заказчику о готовности к вводу в работу оборудования. </w:t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2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thaiCounting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7"/>
    <w:link w:val="68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7"/>
    <w:link w:val="68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7"/>
    <w:link w:val="69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7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7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7"/>
    <w:link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7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7"/>
    <w:link w:val="69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7"/>
    <w:link w:val="710"/>
    <w:uiPriority w:val="10"/>
    <w:rPr>
      <w:sz w:val="48"/>
      <w:szCs w:val="48"/>
    </w:rPr>
  </w:style>
  <w:style w:type="character" w:styleId="37">
    <w:name w:val="Subtitle Char"/>
    <w:basedOn w:val="697"/>
    <w:link w:val="712"/>
    <w:uiPriority w:val="11"/>
    <w:rPr>
      <w:sz w:val="24"/>
      <w:szCs w:val="24"/>
    </w:rPr>
  </w:style>
  <w:style w:type="character" w:styleId="39">
    <w:name w:val="Quote Char"/>
    <w:link w:val="714"/>
    <w:uiPriority w:val="29"/>
    <w:rPr>
      <w:i/>
    </w:rPr>
  </w:style>
  <w:style w:type="character" w:styleId="41">
    <w:name w:val="Intense Quote Char"/>
    <w:link w:val="716"/>
    <w:uiPriority w:val="30"/>
    <w:rPr>
      <w:i/>
    </w:rPr>
  </w:style>
  <w:style w:type="character" w:styleId="176">
    <w:name w:val="Footnote Text Char"/>
    <w:link w:val="851"/>
    <w:uiPriority w:val="99"/>
    <w:rPr>
      <w:sz w:val="18"/>
    </w:rPr>
  </w:style>
  <w:style w:type="character" w:styleId="179">
    <w:name w:val="Endnote Text Char"/>
    <w:link w:val="854"/>
    <w:uiPriority w:val="99"/>
    <w:rPr>
      <w:sz w:val="20"/>
    </w:rPr>
  </w:style>
  <w:style w:type="paragraph" w:styleId="68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8">
    <w:name w:val="Heading 1"/>
    <w:basedOn w:val="687"/>
    <w:next w:val="687"/>
    <w:link w:val="70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9">
    <w:name w:val="Heading 2"/>
    <w:basedOn w:val="687"/>
    <w:next w:val="687"/>
    <w:link w:val="70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0">
    <w:name w:val="Heading 3"/>
    <w:basedOn w:val="687"/>
    <w:next w:val="687"/>
    <w:link w:val="70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1">
    <w:name w:val="Heading 4"/>
    <w:basedOn w:val="687"/>
    <w:next w:val="687"/>
    <w:link w:val="70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687"/>
    <w:next w:val="687"/>
    <w:link w:val="70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7"/>
    <w:next w:val="687"/>
    <w:link w:val="70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4">
    <w:name w:val="Heading 7"/>
    <w:basedOn w:val="687"/>
    <w:next w:val="687"/>
    <w:link w:val="70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5">
    <w:name w:val="Heading 8"/>
    <w:basedOn w:val="687"/>
    <w:next w:val="687"/>
    <w:link w:val="70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6">
    <w:name w:val="Heading 9"/>
    <w:basedOn w:val="687"/>
    <w:next w:val="687"/>
    <w:link w:val="70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character" w:styleId="700" w:customStyle="1">
    <w:name w:val="Заголовок 1 Знак"/>
    <w:link w:val="688"/>
    <w:uiPriority w:val="9"/>
    <w:rPr>
      <w:rFonts w:ascii="Arial" w:hAnsi="Arial" w:eastAsia="Arial" w:cs="Arial"/>
      <w:sz w:val="40"/>
      <w:szCs w:val="40"/>
    </w:rPr>
  </w:style>
  <w:style w:type="character" w:styleId="701" w:customStyle="1">
    <w:name w:val="Заголовок 2 Знак"/>
    <w:link w:val="689"/>
    <w:uiPriority w:val="9"/>
    <w:rPr>
      <w:rFonts w:ascii="Arial" w:hAnsi="Arial" w:eastAsia="Arial" w:cs="Arial"/>
      <w:sz w:val="34"/>
    </w:rPr>
  </w:style>
  <w:style w:type="character" w:styleId="702" w:customStyle="1">
    <w:name w:val="Заголовок 3 Знак"/>
    <w:link w:val="690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Заголовок 4 Знак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Заголовок 5 Знак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Заголовок 6 Знак"/>
    <w:link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Заголовок 7 Знак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Заголовок 8 Знак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Заголовок 9 Знак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No Spacing"/>
    <w:uiPriority w:val="1"/>
    <w:qFormat/>
    <w:rPr>
      <w:lang w:eastAsia="zh-CN"/>
    </w:rPr>
  </w:style>
  <w:style w:type="paragraph" w:styleId="710">
    <w:name w:val="Title"/>
    <w:basedOn w:val="687"/>
    <w:next w:val="687"/>
    <w:link w:val="711"/>
    <w:uiPriority w:val="10"/>
    <w:qFormat/>
    <w:pPr>
      <w:contextualSpacing/>
      <w:spacing w:before="300"/>
    </w:pPr>
    <w:rPr>
      <w:sz w:val="48"/>
      <w:szCs w:val="48"/>
    </w:rPr>
  </w:style>
  <w:style w:type="character" w:styleId="711" w:customStyle="1">
    <w:name w:val="Название Знак"/>
    <w:link w:val="710"/>
    <w:uiPriority w:val="10"/>
    <w:rPr>
      <w:sz w:val="48"/>
      <w:szCs w:val="48"/>
    </w:rPr>
  </w:style>
  <w:style w:type="paragraph" w:styleId="712">
    <w:name w:val="Subtitle"/>
    <w:basedOn w:val="687"/>
    <w:next w:val="687"/>
    <w:link w:val="713"/>
    <w:uiPriority w:val="11"/>
    <w:qFormat/>
    <w:pPr>
      <w:spacing w:before="200"/>
    </w:pPr>
    <w:rPr>
      <w:sz w:val="24"/>
      <w:szCs w:val="24"/>
    </w:rPr>
  </w:style>
  <w:style w:type="character" w:styleId="713" w:customStyle="1">
    <w:name w:val="Подзаголовок Знак"/>
    <w:link w:val="712"/>
    <w:uiPriority w:val="11"/>
    <w:rPr>
      <w:sz w:val="24"/>
      <w:szCs w:val="24"/>
    </w:rPr>
  </w:style>
  <w:style w:type="paragraph" w:styleId="714">
    <w:name w:val="Quote"/>
    <w:basedOn w:val="687"/>
    <w:next w:val="687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7"/>
    <w:next w:val="687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paragraph" w:styleId="718">
    <w:name w:val="Header"/>
    <w:basedOn w:val="687"/>
    <w:link w:val="875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19" w:customStyle="1">
    <w:name w:val="Header Char"/>
    <w:uiPriority w:val="99"/>
  </w:style>
  <w:style w:type="paragraph" w:styleId="720">
    <w:name w:val="Footer"/>
    <w:basedOn w:val="687"/>
    <w:link w:val="876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21" w:customStyle="1">
    <w:name w:val="Footer Char"/>
    <w:uiPriority w:val="99"/>
  </w:style>
  <w:style w:type="paragraph" w:styleId="722">
    <w:name w:val="Caption"/>
    <w:basedOn w:val="687"/>
    <w:next w:val="687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23" w:customStyle="1">
    <w:name w:val="Caption Char"/>
    <w:uiPriority w:val="99"/>
  </w:style>
  <w:style w:type="table" w:styleId="724">
    <w:name w:val="Table Grid"/>
    <w:basedOn w:val="698"/>
    <w:uiPriority w:val="5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9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5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0">
    <w:name w:val="Hyperlink"/>
    <w:uiPriority w:val="99"/>
    <w:unhideWhenUsed/>
    <w:rPr>
      <w:color w:val="0000ff"/>
      <w:u w:val="single"/>
    </w:rPr>
  </w:style>
  <w:style w:type="paragraph" w:styleId="851">
    <w:name w:val="footnote text"/>
    <w:basedOn w:val="687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687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687"/>
    <w:next w:val="687"/>
    <w:uiPriority w:val="39"/>
    <w:unhideWhenUsed/>
    <w:pPr>
      <w:spacing w:after="57"/>
    </w:pPr>
  </w:style>
  <w:style w:type="paragraph" w:styleId="858">
    <w:name w:val="toc 2"/>
    <w:basedOn w:val="687"/>
    <w:next w:val="687"/>
    <w:uiPriority w:val="39"/>
    <w:unhideWhenUsed/>
    <w:pPr>
      <w:ind w:left="283"/>
      <w:spacing w:after="57"/>
    </w:pPr>
  </w:style>
  <w:style w:type="paragraph" w:styleId="859">
    <w:name w:val="toc 3"/>
    <w:basedOn w:val="687"/>
    <w:next w:val="687"/>
    <w:uiPriority w:val="39"/>
    <w:unhideWhenUsed/>
    <w:pPr>
      <w:ind w:left="567"/>
      <w:spacing w:after="57"/>
    </w:pPr>
  </w:style>
  <w:style w:type="paragraph" w:styleId="860">
    <w:name w:val="toc 4"/>
    <w:basedOn w:val="687"/>
    <w:next w:val="687"/>
    <w:uiPriority w:val="39"/>
    <w:unhideWhenUsed/>
    <w:pPr>
      <w:ind w:left="850"/>
      <w:spacing w:after="57"/>
    </w:pPr>
  </w:style>
  <w:style w:type="paragraph" w:styleId="861">
    <w:name w:val="toc 5"/>
    <w:basedOn w:val="687"/>
    <w:next w:val="687"/>
    <w:uiPriority w:val="39"/>
    <w:unhideWhenUsed/>
    <w:pPr>
      <w:ind w:left="1134"/>
      <w:spacing w:after="57"/>
    </w:pPr>
  </w:style>
  <w:style w:type="paragraph" w:styleId="862">
    <w:name w:val="toc 6"/>
    <w:basedOn w:val="687"/>
    <w:next w:val="687"/>
    <w:uiPriority w:val="39"/>
    <w:unhideWhenUsed/>
    <w:pPr>
      <w:ind w:left="1417"/>
      <w:spacing w:after="57"/>
    </w:pPr>
  </w:style>
  <w:style w:type="paragraph" w:styleId="863">
    <w:name w:val="toc 7"/>
    <w:basedOn w:val="687"/>
    <w:next w:val="687"/>
    <w:uiPriority w:val="39"/>
    <w:unhideWhenUsed/>
    <w:pPr>
      <w:ind w:left="1701"/>
      <w:spacing w:after="57"/>
    </w:pPr>
  </w:style>
  <w:style w:type="paragraph" w:styleId="864">
    <w:name w:val="toc 8"/>
    <w:basedOn w:val="687"/>
    <w:next w:val="687"/>
    <w:uiPriority w:val="39"/>
    <w:unhideWhenUsed/>
    <w:pPr>
      <w:ind w:left="1984"/>
      <w:spacing w:after="57"/>
    </w:pPr>
  </w:style>
  <w:style w:type="paragraph" w:styleId="865">
    <w:name w:val="toc 9"/>
    <w:basedOn w:val="687"/>
    <w:next w:val="687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  <w:rPr>
      <w:lang w:eastAsia="zh-CN"/>
    </w:rPr>
  </w:style>
  <w:style w:type="paragraph" w:styleId="867">
    <w:name w:val="table of figures"/>
    <w:basedOn w:val="687"/>
    <w:next w:val="687"/>
    <w:uiPriority w:val="99"/>
    <w:unhideWhenUsed/>
    <w:pPr>
      <w:spacing w:after="0"/>
    </w:pPr>
  </w:style>
  <w:style w:type="paragraph" w:styleId="868">
    <w:name w:val="List Paragraph"/>
    <w:basedOn w:val="687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9">
    <w:name w:val="Body Text Indent"/>
    <w:basedOn w:val="687"/>
    <w:link w:val="870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70" w:customStyle="1">
    <w:name w:val="Основной текст с отступом Знак"/>
    <w:link w:val="869"/>
    <w:rPr>
      <w:rFonts w:ascii="Times New Roman" w:hAnsi="Times New Roman" w:eastAsia="Times New Roman"/>
      <w:sz w:val="24"/>
      <w:szCs w:val="24"/>
    </w:rPr>
  </w:style>
  <w:style w:type="paragraph" w:styleId="871">
    <w:name w:val="Balloon Text"/>
    <w:basedOn w:val="687"/>
    <w:link w:val="87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2" w:customStyle="1">
    <w:name w:val="Текст выноски Знак"/>
    <w:link w:val="87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3" w:customStyle="1">
    <w:name w:val="Стиль3"/>
    <w:basedOn w:val="687"/>
    <w:link w:val="874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74" w:customStyle="1">
    <w:name w:val="Стиль3 Знак"/>
    <w:link w:val="873"/>
    <w:rPr>
      <w:rFonts w:ascii="Arial" w:hAnsi="Arial" w:eastAsia="Times New Roman" w:cs="Arial"/>
      <w:sz w:val="22"/>
      <w:szCs w:val="22"/>
    </w:rPr>
  </w:style>
  <w:style w:type="character" w:styleId="875" w:customStyle="1">
    <w:name w:val="Верхний колонтитул Знак"/>
    <w:link w:val="718"/>
    <w:uiPriority w:val="99"/>
    <w:rPr>
      <w:sz w:val="22"/>
      <w:szCs w:val="22"/>
      <w:lang w:eastAsia="en-US"/>
    </w:rPr>
  </w:style>
  <w:style w:type="character" w:styleId="876" w:customStyle="1">
    <w:name w:val="Нижний колонтитул Знак"/>
    <w:link w:val="720"/>
    <w:uiPriority w:val="99"/>
    <w:rPr>
      <w:sz w:val="22"/>
      <w:szCs w:val="22"/>
      <w:lang w:eastAsia="en-US"/>
    </w:rPr>
  </w:style>
  <w:style w:type="character" w:styleId="877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78">
    <w:name w:val="annotation reference"/>
    <w:uiPriority w:val="99"/>
    <w:semiHidden/>
    <w:unhideWhenUsed/>
    <w:rPr>
      <w:sz w:val="16"/>
      <w:szCs w:val="16"/>
    </w:rPr>
  </w:style>
  <w:style w:type="paragraph" w:styleId="879">
    <w:name w:val="annotation text"/>
    <w:basedOn w:val="687"/>
    <w:link w:val="880"/>
    <w:uiPriority w:val="99"/>
    <w:semiHidden/>
    <w:unhideWhenUsed/>
    <w:rPr>
      <w:sz w:val="20"/>
      <w:szCs w:val="20"/>
      <w:lang w:val="en-US"/>
    </w:rPr>
  </w:style>
  <w:style w:type="character" w:styleId="880" w:customStyle="1">
    <w:name w:val="Текст примечания Знак"/>
    <w:link w:val="879"/>
    <w:uiPriority w:val="99"/>
    <w:semiHidden/>
    <w:rPr>
      <w:lang w:eastAsia="en-US"/>
    </w:rPr>
  </w:style>
  <w:style w:type="paragraph" w:styleId="881">
    <w:name w:val="annotation subject"/>
    <w:basedOn w:val="879"/>
    <w:next w:val="879"/>
    <w:link w:val="882"/>
    <w:uiPriority w:val="99"/>
    <w:semiHidden/>
    <w:unhideWhenUsed/>
    <w:rPr>
      <w:b/>
      <w:bCs/>
    </w:rPr>
  </w:style>
  <w:style w:type="character" w:styleId="882" w:customStyle="1">
    <w:name w:val="Тема примечания Знак"/>
    <w:link w:val="881"/>
    <w:uiPriority w:val="99"/>
    <w:semiHidden/>
    <w:rPr>
      <w:b/>
      <w:bCs/>
      <w:lang w:eastAsia="en-US"/>
    </w:rPr>
  </w:style>
  <w:style w:type="paragraph" w:styleId="883">
    <w:name w:val="Plain Text"/>
    <w:basedOn w:val="687"/>
    <w:link w:val="884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84" w:customStyle="1">
    <w:name w:val="Текст Знак"/>
    <w:link w:val="883"/>
    <w:uiPriority w:val="99"/>
    <w:rPr>
      <w:rFonts w:eastAsia="Times New Roman" w:cs="Times New Roman"/>
      <w:sz w:val="22"/>
      <w:szCs w:val="21"/>
      <w:lang w:eastAsia="en-US"/>
    </w:rPr>
  </w:style>
  <w:style w:type="paragraph" w:styleId="885" w:customStyle="1">
    <w:name w:val="Основной текст 32"/>
    <w:basedOn w:val="687"/>
    <w:pPr>
      <w:ind w:firstLine="709"/>
      <w:jc w:val="both"/>
      <w:spacing w:after="120" w:line="240" w:lineRule="auto"/>
    </w:pPr>
    <w:rPr>
      <w:rFonts w:ascii="Arial" w:hAnsi="Arial" w:cs="Arial"/>
      <w:sz w:val="16"/>
      <w:szCs w:val="16"/>
      <w:lang w:eastAsia="zh-CN"/>
    </w:rPr>
  </w:style>
  <w:style w:type="paragraph" w:styleId="886" w:customStyle="1">
    <w:name w:val="Обычный без отступа"/>
    <w:basedOn w:val="687"/>
    <w:pPr>
      <w:jc w:val="both"/>
      <w:spacing w:after="0" w:line="360" w:lineRule="auto"/>
      <w:widowControl w:val="off"/>
    </w:pPr>
    <w:rPr>
      <w:rFonts w:ascii="Arial" w:hAnsi="Arial" w:eastAsia="Times New Roman" w:cs="Arial"/>
      <w:lang w:eastAsia="ru-RU"/>
    </w:rPr>
  </w:style>
  <w:style w:type="paragraph" w:styleId="887" w:customStyle="1">
    <w:name w:val="МРСК_шрифт_абзаца"/>
    <w:basedOn w:val="687"/>
    <w:link w:val="888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/>
      <w:sz w:val="24"/>
      <w:szCs w:val="24"/>
      <w:lang w:val="en-US"/>
    </w:rPr>
  </w:style>
  <w:style w:type="character" w:styleId="888" w:customStyle="1">
    <w:name w:val="МРСК_шрифт_абзаца Знак"/>
    <w:link w:val="887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889" w:customStyle="1">
    <w:name w:val="Default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32</cp:revision>
  <dcterms:created xsi:type="dcterms:W3CDTF">2022-10-27T01:59:00Z</dcterms:created>
  <dcterms:modified xsi:type="dcterms:W3CDTF">2025-03-24T09:37:23Z</dcterms:modified>
  <cp:version>983040</cp:version>
</cp:coreProperties>
</file>